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6" w:rsidRDefault="005D5B56">
      <w:pPr>
        <w:rPr>
          <w:lang w:val="es-ES"/>
        </w:rPr>
      </w:pPr>
    </w:p>
    <w:p w:rsidR="00F752C9" w:rsidRPr="00F752C9" w:rsidRDefault="00F752C9" w:rsidP="00F752C9">
      <w:pPr>
        <w:rPr>
          <w:b/>
          <w:bCs/>
          <w:color w:val="F79646" w:themeColor="accent6"/>
          <w:sz w:val="36"/>
          <w:szCs w:val="36"/>
          <w:lang w:val="es-ES"/>
        </w:rPr>
      </w:pPr>
      <w:r w:rsidRPr="00F752C9">
        <w:rPr>
          <w:b/>
          <w:bCs/>
          <w:color w:val="F79646" w:themeColor="accent6"/>
          <w:sz w:val="36"/>
          <w:szCs w:val="36"/>
          <w:lang w:val="es-ES"/>
        </w:rPr>
        <w:t>CINCO CONSIDERACIONES PARA FORTALECER LOS PROGRAMAS DE ACOGIMIENTO</w:t>
      </w:r>
    </w:p>
    <w:p w:rsidR="005D5B56" w:rsidRPr="0072159D" w:rsidRDefault="00F752C9" w:rsidP="0072159D">
      <w:pPr>
        <w:rPr>
          <w:bCs/>
          <w:lang w:val="es-ES"/>
        </w:rPr>
      </w:pPr>
      <w:r w:rsidRPr="00F752C9">
        <w:rPr>
          <w:bCs/>
          <w:lang w:val="es-ES"/>
        </w:rPr>
        <w:t xml:space="preserve">Mg. Daniel Ocampo </w:t>
      </w:r>
      <w:r>
        <w:rPr>
          <w:bCs/>
          <w:lang w:val="es-ES"/>
        </w:rPr>
        <w:t>–</w:t>
      </w:r>
      <w:r w:rsidRPr="00F752C9">
        <w:rPr>
          <w:bCs/>
          <w:lang w:val="es-ES"/>
        </w:rPr>
        <w:t xml:space="preserve"> </w:t>
      </w:r>
      <w:r>
        <w:rPr>
          <w:bCs/>
          <w:lang w:val="es-ES"/>
        </w:rPr>
        <w:t>Miembro del Consejo Consultivo RELAF -</w:t>
      </w:r>
      <w:r w:rsidR="0072159D">
        <w:rPr>
          <w:bCs/>
          <w:lang w:val="es-ES"/>
        </w:rPr>
        <w:t xml:space="preserve"> </w:t>
      </w:r>
      <w:r w:rsidRPr="00F752C9">
        <w:rPr>
          <w:bCs/>
          <w:lang w:val="es-ES"/>
        </w:rPr>
        <w:t>Argentina</w:t>
      </w:r>
    </w:p>
    <w:p w:rsidR="005D5B56" w:rsidRPr="00F752C9" w:rsidRDefault="00782BAE">
      <w:pPr>
        <w:rPr>
          <w:lang w:val="es-ES"/>
        </w:rPr>
      </w:pPr>
      <w:r w:rsidRPr="00F752C9">
        <w:rPr>
          <w:lang w:val="es-ES"/>
        </w:rPr>
        <w:t>Keywords</w:t>
      </w:r>
      <w:r w:rsidR="00F752C9" w:rsidRPr="00F752C9">
        <w:rPr>
          <w:lang w:val="es-ES"/>
        </w:rPr>
        <w:t xml:space="preserve">: estabilidad emocional, propuestas terapéuticas, </w:t>
      </w:r>
      <w:r w:rsidR="00F752C9">
        <w:rPr>
          <w:lang w:val="es-ES"/>
        </w:rPr>
        <w:t>evaluación de familias de acogimiento.</w:t>
      </w:r>
    </w:p>
    <w:p w:rsidR="00F752C9" w:rsidRPr="00F752C9" w:rsidRDefault="00F752C9" w:rsidP="00F752C9">
      <w:pPr>
        <w:jc w:val="both"/>
        <w:rPr>
          <w:lang w:val="es-AR"/>
        </w:rPr>
      </w:pPr>
      <w:r w:rsidRPr="00F752C9">
        <w:rPr>
          <w:lang w:val="es-AR"/>
        </w:rPr>
        <w:t xml:space="preserve">La práctica del acogimiento familiar </w:t>
      </w:r>
      <w:r w:rsidR="0072159D">
        <w:rPr>
          <w:lang w:val="es-AR"/>
        </w:rPr>
        <w:t>llevada</w:t>
      </w:r>
      <w:r w:rsidRPr="00F752C9">
        <w:rPr>
          <w:lang w:val="es-AR"/>
        </w:rPr>
        <w:t xml:space="preserve"> adelante desde el año 2007, </w:t>
      </w:r>
      <w:r w:rsidR="0072159D">
        <w:rPr>
          <w:lang w:val="es-AR"/>
        </w:rPr>
        <w:t>los errores y los aciertos</w:t>
      </w:r>
      <w:r w:rsidRPr="00F752C9">
        <w:rPr>
          <w:lang w:val="es-AR"/>
        </w:rPr>
        <w:t>, la participación en ámbitos de estudio y encuentro, permit</w:t>
      </w:r>
      <w:r w:rsidR="0072159D">
        <w:rPr>
          <w:lang w:val="es-AR"/>
        </w:rPr>
        <w:t>iero</w:t>
      </w:r>
      <w:r w:rsidRPr="00F752C9">
        <w:rPr>
          <w:lang w:val="es-AR"/>
        </w:rPr>
        <w:t xml:space="preserve">n dilucidar cinco cuestiones que es necesario tener en cuenta para configurar una propuesta de acogimiento respetuosa de la </w:t>
      </w:r>
      <w:r w:rsidR="0072159D">
        <w:rPr>
          <w:lang w:val="es-AR"/>
        </w:rPr>
        <w:t>protección integral.</w:t>
      </w:r>
    </w:p>
    <w:p w:rsidR="00F752C9" w:rsidRPr="00F752C9" w:rsidRDefault="0072159D" w:rsidP="00F752C9">
      <w:pPr>
        <w:numPr>
          <w:ilvl w:val="3"/>
          <w:numId w:val="1"/>
        </w:numPr>
        <w:tabs>
          <w:tab w:val="clear" w:pos="1800"/>
        </w:tabs>
        <w:ind w:left="709"/>
        <w:jc w:val="both"/>
        <w:rPr>
          <w:lang w:val="es-AR"/>
        </w:rPr>
      </w:pPr>
      <w:r>
        <w:rPr>
          <w:lang w:val="es-AR"/>
        </w:rPr>
        <w:t>E</w:t>
      </w:r>
      <w:r w:rsidR="00F752C9" w:rsidRPr="00F752C9">
        <w:rPr>
          <w:lang w:val="es-AR"/>
        </w:rPr>
        <w:t>stabilidad emocional</w:t>
      </w:r>
      <w:r>
        <w:rPr>
          <w:lang w:val="es-AR"/>
        </w:rPr>
        <w:t xml:space="preserve"> y</w:t>
      </w:r>
      <w:r w:rsidR="00F752C9" w:rsidRPr="00F752C9">
        <w:rPr>
          <w:lang w:val="es-AR"/>
        </w:rPr>
        <w:t xml:space="preserve"> seguridad jurídica como derecho de niñas/os y adolescentes en acogimiento: la coordinación con profesionales del órgano administrativo </w:t>
      </w:r>
      <w:r>
        <w:rPr>
          <w:lang w:val="es-AR"/>
        </w:rPr>
        <w:t>y</w:t>
      </w:r>
      <w:r w:rsidR="00F752C9" w:rsidRPr="00F752C9">
        <w:rPr>
          <w:lang w:val="es-AR"/>
        </w:rPr>
        <w:t xml:space="preserve"> del jurisdiccional llevaron a constatar que ni la estabilidad emocional ni la seguridad jurídica están siempre en el norte de las decisiones que se toman en relación a las/os niñas/os en acogimiento. El acogimiento familiar resulta un “paréntesis” de cuidado en sus vidas que debe cerrarse rápidamente, pero esto con frecuencia no es así. Muchas/os de ellas/os</w:t>
      </w:r>
      <w:r>
        <w:rPr>
          <w:lang w:val="es-AR"/>
        </w:rPr>
        <w:t xml:space="preserve"> sufren reiterados</w:t>
      </w:r>
      <w:r w:rsidR="00F752C9" w:rsidRPr="00F752C9">
        <w:rPr>
          <w:lang w:val="es-AR"/>
        </w:rPr>
        <w:t xml:space="preserve"> cambios de familia o de institución en un corto lapso de tiempo. Esto tiene un costo emocional y psicológico altísimo para las/os niñas/os y adolescentes</w:t>
      </w:r>
      <w:r>
        <w:rPr>
          <w:lang w:val="es-AR"/>
        </w:rPr>
        <w:t>.</w:t>
      </w:r>
    </w:p>
    <w:p w:rsidR="00F752C9" w:rsidRPr="00F752C9" w:rsidRDefault="00F752C9" w:rsidP="00F752C9">
      <w:pPr>
        <w:numPr>
          <w:ilvl w:val="3"/>
          <w:numId w:val="2"/>
        </w:numPr>
        <w:tabs>
          <w:tab w:val="clear" w:pos="1800"/>
        </w:tabs>
        <w:ind w:left="709"/>
        <w:jc w:val="both"/>
        <w:rPr>
          <w:lang w:val="es-ES"/>
        </w:rPr>
      </w:pPr>
      <w:r w:rsidRPr="00F752C9">
        <w:rPr>
          <w:lang w:val="es-AR"/>
        </w:rPr>
        <w:t xml:space="preserve">Los acogimientos que se prolongan innecesariamente: En 2009 se realizó un relevamiento de casos en la Dirección de Acogimiento Familiar en una provincia argentina que determinaron que el 69,1% habían ingresado antes de cumplir los 5 años y el 70,9 % llevaba más de tres años en el programa sin que su situación jurídica se resolviera. Esta constatación empírica </w:t>
      </w:r>
      <w:r w:rsidRPr="00F752C9">
        <w:rPr>
          <w:lang w:val="es-ES"/>
        </w:rPr>
        <w:t>indicaba una prolongació</w:t>
      </w:r>
      <w:r w:rsidR="0072159D">
        <w:rPr>
          <w:lang w:val="es-ES"/>
        </w:rPr>
        <w:t>n de los acogimientos</w:t>
      </w:r>
      <w:r w:rsidRPr="00F752C9">
        <w:rPr>
          <w:lang w:val="es-ES"/>
        </w:rPr>
        <w:t xml:space="preserve"> que en la mayoría de los casos era innecesaria y que debía haberse resuelto mucho antes si se hubieran agotado instancias terapéuticas necesarias y suficientes con los progenitores o se hubiese asumido que las/os niños y adolescentes necesitan que se desplieguen con ellas/os medias de protección respetuosas de la estabilidad emocional y la seguridad jurídica.</w:t>
      </w:r>
    </w:p>
    <w:p w:rsidR="00F752C9" w:rsidRPr="00F752C9" w:rsidRDefault="00F752C9" w:rsidP="00F752C9">
      <w:pPr>
        <w:numPr>
          <w:ilvl w:val="3"/>
          <w:numId w:val="2"/>
        </w:numPr>
        <w:tabs>
          <w:tab w:val="clear" w:pos="1800"/>
        </w:tabs>
        <w:ind w:left="709"/>
        <w:jc w:val="both"/>
        <w:rPr>
          <w:lang w:val="es-ES"/>
        </w:rPr>
      </w:pPr>
      <w:r w:rsidRPr="00F752C9">
        <w:rPr>
          <w:lang w:val="es-ES"/>
        </w:rPr>
        <w:t>Las familias de acogim</w:t>
      </w:r>
      <w:r>
        <w:rPr>
          <w:lang w:val="es-ES"/>
        </w:rPr>
        <w:t>i</w:t>
      </w:r>
      <w:r w:rsidRPr="00F752C9">
        <w:rPr>
          <w:lang w:val="es-ES"/>
        </w:rPr>
        <w:t xml:space="preserve">ento deben ser evaluadas convenientemente: La madurez emocional es un indicador psicosocial que con frecuencia es obviado en las evaluaciones de las capacidades de cuidado que tendrá la futura familia acogedora. Esta omisión implica que las/os niñas/os se verán doblemente victimizados. Los adultos debieran poder, entre otras cosas: empatizar con las necesidades emocionales del/la niño/a y satisfacerlas adecuadamente sin caer en extremos de culpa o cinismo; mostrar capacidad autorreflexiva y poder dar cuenta abiertamente de sus emociones y sentimientos diferenciándolos de los que siente o manifiesta la/el niña/o a su cuidado; responsabilizarse de sus emociones y sentimientos y no culpar a la/el niña/o a su </w:t>
      </w:r>
      <w:r w:rsidRPr="00F752C9">
        <w:rPr>
          <w:lang w:val="es-ES"/>
        </w:rPr>
        <w:lastRenderedPageBreak/>
        <w:t xml:space="preserve">cuidado por los que su comportamiento les generan; resolver sus dificultades emocionales y afectivas en el mundo adulto y no intentar compensarlas con la presencia en su vida del/la niño/a a su cuidado. </w:t>
      </w:r>
    </w:p>
    <w:p w:rsidR="00F752C9" w:rsidRDefault="00F752C9" w:rsidP="00F752C9">
      <w:pPr>
        <w:numPr>
          <w:ilvl w:val="3"/>
          <w:numId w:val="2"/>
        </w:numPr>
        <w:tabs>
          <w:tab w:val="clear" w:pos="1800"/>
        </w:tabs>
        <w:ind w:left="709"/>
        <w:jc w:val="both"/>
        <w:rPr>
          <w:lang w:val="es-ES"/>
        </w:rPr>
      </w:pPr>
      <w:r w:rsidRPr="00F752C9">
        <w:rPr>
          <w:lang w:val="es-ES"/>
        </w:rPr>
        <w:t>La comunidad y las ONGs no siempre son partícipes del ejercicio de la parentalidad social: Algunos/as profesionales o funcionarios se muestran resistentes a delegar en las organizaciones de la sociedad civil las acciones tendientes a la protección integral. Sin embargo, la complementariedad que puede lograrse entre ambas instancias amplía considerablemente los alcances y la injerencia de un sistema proteccional que muchas veces se muestra frágil y fragmentado. Las ONGs pueden especializarse en: la socioeducación parental; el acompañamiento a familias biológicas para evitar la disolución familiar; el acompañamiento a madres/padres jóvenes o adolescentes; la pr</w:t>
      </w:r>
      <w:r w:rsidR="0072159D">
        <w:rPr>
          <w:lang w:val="es-ES"/>
        </w:rPr>
        <w:t>omoción del acogimiento</w:t>
      </w:r>
      <w:r w:rsidRPr="00F752C9">
        <w:rPr>
          <w:lang w:val="es-ES"/>
        </w:rPr>
        <w:t xml:space="preserve"> y el acompañamiento a familias; la bús</w:t>
      </w:r>
      <w:r w:rsidR="0072159D">
        <w:rPr>
          <w:lang w:val="es-ES"/>
        </w:rPr>
        <w:t>queda de familias</w:t>
      </w:r>
      <w:r w:rsidRPr="00F752C9">
        <w:rPr>
          <w:lang w:val="es-ES"/>
        </w:rPr>
        <w:t xml:space="preserve"> para niñas/os con situaciones de especial atención; capacitar en fortalecimiento familiar y acogimiento familiar; dispositivos multifamiliares de </w:t>
      </w:r>
      <w:r w:rsidR="0072159D">
        <w:rPr>
          <w:lang w:val="es-ES"/>
        </w:rPr>
        <w:t>“</w:t>
      </w:r>
      <w:r w:rsidRPr="00F752C9">
        <w:rPr>
          <w:lang w:val="es-ES"/>
        </w:rPr>
        <w:t>tutores de resiliencia</w:t>
      </w:r>
      <w:r w:rsidR="0072159D">
        <w:rPr>
          <w:lang w:val="es-ES"/>
        </w:rPr>
        <w:t>”</w:t>
      </w:r>
      <w:r w:rsidRPr="00F752C9">
        <w:rPr>
          <w:lang w:val="es-ES"/>
        </w:rPr>
        <w:t xml:space="preserve"> para niñas/os en cuidados res</w:t>
      </w:r>
      <w:r w:rsidR="0072159D">
        <w:rPr>
          <w:lang w:val="es-ES"/>
        </w:rPr>
        <w:t>idencial u hogares; etc.</w:t>
      </w:r>
    </w:p>
    <w:p w:rsidR="00F752C9" w:rsidRDefault="00F752C9" w:rsidP="00F752C9">
      <w:pPr>
        <w:numPr>
          <w:ilvl w:val="3"/>
          <w:numId w:val="2"/>
        </w:numPr>
        <w:tabs>
          <w:tab w:val="clear" w:pos="1800"/>
        </w:tabs>
        <w:ind w:left="709"/>
        <w:jc w:val="both"/>
        <w:rPr>
          <w:lang w:val="es-ES"/>
        </w:rPr>
      </w:pPr>
      <w:r w:rsidRPr="00F752C9">
        <w:rPr>
          <w:lang w:val="es-ES"/>
        </w:rPr>
        <w:t>Las propuestas terapéuticas para propiciar la restitución suelen no ser las necesarias y tampoco las suficientes: En el relevamiento de 2009 pudo constatarse que en el 90% de los legajos personales de las/os niñas/os cuyas situaciones fueron relevadas no se transcribían las propuest</w:t>
      </w:r>
      <w:r w:rsidR="006C04E2">
        <w:rPr>
          <w:lang w:val="es-ES"/>
        </w:rPr>
        <w:t>as terapéuticas</w:t>
      </w:r>
      <w:r w:rsidRPr="00F752C9">
        <w:rPr>
          <w:lang w:val="es-ES"/>
        </w:rPr>
        <w:t>. En muchas de esas situaciones ya no se intervenía con fines de restitución y continuaban aún así en el “programa”. Sin propuestas terapéuticas no es posible propiciar la restitución, y mucho menos la resolución de fondo de la medida jurídico-administrativa que propició el acogimiento.</w:t>
      </w:r>
    </w:p>
    <w:p w:rsidR="0072159D" w:rsidRDefault="0072159D" w:rsidP="00F752C9">
      <w:pPr>
        <w:jc w:val="both"/>
        <w:rPr>
          <w:lang w:val="es-ES"/>
        </w:rPr>
      </w:pPr>
    </w:p>
    <w:p w:rsidR="00F752C9" w:rsidRDefault="00F752C9" w:rsidP="00F752C9">
      <w:pPr>
        <w:jc w:val="both"/>
        <w:rPr>
          <w:lang w:val="es-ES"/>
        </w:rPr>
      </w:pPr>
      <w:r>
        <w:rPr>
          <w:lang w:val="es-ES"/>
        </w:rPr>
        <w:t>Bibliografía:</w:t>
      </w:r>
    </w:p>
    <w:p w:rsidR="00F752C9" w:rsidRPr="00F752C9" w:rsidRDefault="00F752C9" w:rsidP="00F752C9">
      <w:pPr>
        <w:ind w:left="720"/>
        <w:jc w:val="both"/>
        <w:rPr>
          <w:b/>
          <w:lang w:val="es-ES"/>
        </w:rPr>
      </w:pPr>
      <w:r>
        <w:rPr>
          <w:lang w:val="es-ES"/>
        </w:rPr>
        <w:t xml:space="preserve">OCAMPO, D. </w:t>
      </w:r>
      <w:r w:rsidRPr="00F752C9">
        <w:rPr>
          <w:lang w:val="es-ES_tradnl"/>
        </w:rPr>
        <w:t xml:space="preserve">(2012) </w:t>
      </w:r>
      <w:r w:rsidRPr="00F752C9">
        <w:rPr>
          <w:i/>
          <w:lang w:val="es-ES_tradnl"/>
        </w:rPr>
        <w:t xml:space="preserve">Propuestas terapéuticas en la práctica del acogimiento familiar </w:t>
      </w:r>
      <w:r w:rsidRPr="00F752C9">
        <w:rPr>
          <w:lang w:val="es-ES_tradnl"/>
        </w:rPr>
        <w:t>Editorial Lumen Humanitas. Buenos Aires.</w:t>
      </w:r>
      <w:r w:rsidRPr="00F752C9">
        <w:rPr>
          <w:rFonts w:ascii="Arial" w:hAnsi="Arial" w:cs="Arial"/>
          <w:b/>
          <w:sz w:val="48"/>
          <w:szCs w:val="48"/>
          <w:lang w:val="es-ES"/>
        </w:rPr>
        <w:t xml:space="preserve"> </w:t>
      </w:r>
    </w:p>
    <w:p w:rsidR="00F752C9" w:rsidRPr="00F752C9" w:rsidRDefault="00F752C9" w:rsidP="00F752C9">
      <w:pPr>
        <w:numPr>
          <w:ilvl w:val="0"/>
          <w:numId w:val="3"/>
        </w:numPr>
        <w:tabs>
          <w:tab w:val="clear" w:pos="0"/>
        </w:tabs>
        <w:ind w:left="1276"/>
        <w:jc w:val="both"/>
        <w:rPr>
          <w:lang w:val="es-ES"/>
        </w:rPr>
      </w:pPr>
      <w:r w:rsidRPr="00F752C9">
        <w:rPr>
          <w:lang w:val="es-ES"/>
        </w:rPr>
        <w:t>(2016)</w:t>
      </w:r>
      <w:r w:rsidRPr="00F752C9">
        <w:rPr>
          <w:i/>
          <w:lang w:val="es-ES"/>
        </w:rPr>
        <w:t xml:space="preserve"> Acogimiento Familiar Formal y Familias de Acogimiento. Aportes para la formación, la orientación y la reflexión </w:t>
      </w:r>
      <w:r w:rsidRPr="00F752C9">
        <w:rPr>
          <w:lang w:val="es-ES"/>
        </w:rPr>
        <w:t>(obra en preparación)</w:t>
      </w:r>
      <w:r>
        <w:rPr>
          <w:lang w:val="es-ES"/>
        </w:rPr>
        <w:t>.</w:t>
      </w:r>
    </w:p>
    <w:p w:rsidR="00F752C9" w:rsidRPr="00F752C9" w:rsidRDefault="00F752C9" w:rsidP="00F752C9">
      <w:pPr>
        <w:jc w:val="both"/>
        <w:rPr>
          <w:lang w:val="es-ES"/>
        </w:rPr>
      </w:pPr>
    </w:p>
    <w:sectPr w:rsidR="00F752C9" w:rsidRPr="00F752C9" w:rsidSect="004E7E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C8" w:rsidRDefault="00DD2BC8" w:rsidP="00825F9D">
      <w:pPr>
        <w:spacing w:after="0" w:line="240" w:lineRule="auto"/>
      </w:pPr>
      <w:r>
        <w:separator/>
      </w:r>
    </w:p>
  </w:endnote>
  <w:endnote w:type="continuationSeparator" w:id="1">
    <w:p w:rsidR="00DD2BC8" w:rsidRDefault="00DD2BC8" w:rsidP="008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C8" w:rsidRDefault="00DD2BC8" w:rsidP="00825F9D">
      <w:pPr>
        <w:spacing w:after="0" w:line="240" w:lineRule="auto"/>
      </w:pPr>
      <w:r>
        <w:separator/>
      </w:r>
    </w:p>
  </w:footnote>
  <w:footnote w:type="continuationSeparator" w:id="1">
    <w:p w:rsidR="00DD2BC8" w:rsidRDefault="00DD2BC8" w:rsidP="008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9D" w:rsidRDefault="00825F9D" w:rsidP="00825F9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019675" cy="762000"/>
          <wp:effectExtent l="19050" t="0" r="9525" b="0"/>
          <wp:docPr id="3" name="2 Imagen" descr="cabezal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0B"/>
    <w:rsid w:val="004E7E5C"/>
    <w:rsid w:val="004F7348"/>
    <w:rsid w:val="005D5B56"/>
    <w:rsid w:val="00621F0B"/>
    <w:rsid w:val="00665266"/>
    <w:rsid w:val="006C04E2"/>
    <w:rsid w:val="006E4C5D"/>
    <w:rsid w:val="0072159D"/>
    <w:rsid w:val="00782BAE"/>
    <w:rsid w:val="00825F9D"/>
    <w:rsid w:val="00891BFD"/>
    <w:rsid w:val="00A07491"/>
    <w:rsid w:val="00A76D32"/>
    <w:rsid w:val="00AF6AB6"/>
    <w:rsid w:val="00DD2BC8"/>
    <w:rsid w:val="00EC510E"/>
    <w:rsid w:val="00F7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5F9D"/>
  </w:style>
  <w:style w:type="paragraph" w:styleId="Piedepgina">
    <w:name w:val="footer"/>
    <w:basedOn w:val="Normal"/>
    <w:link w:val="PiedepginaC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5F9D"/>
  </w:style>
  <w:style w:type="paragraph" w:styleId="Textodeglobo">
    <w:name w:val="Balloon Text"/>
    <w:basedOn w:val="Normal"/>
    <w:link w:val="TextodegloboCar"/>
    <w:uiPriority w:val="99"/>
    <w:semiHidden/>
    <w:unhideWhenUsed/>
    <w:rsid w:val="008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10</cp:revision>
  <dcterms:created xsi:type="dcterms:W3CDTF">2016-08-30T12:13:00Z</dcterms:created>
  <dcterms:modified xsi:type="dcterms:W3CDTF">2016-09-18T22:23:00Z</dcterms:modified>
</cp:coreProperties>
</file>